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CBB" w:rsidRDefault="00DD4804">
      <w:pPr>
        <w:contextualSpacing w:val="0"/>
      </w:pPr>
      <w:bookmarkStart w:id="0" w:name="_GoBack"/>
      <w:bookmarkEnd w:id="0"/>
      <w:r>
        <w:t xml:space="preserve">In attendance: Bob Young, Jonathan Pape, and Brian </w:t>
      </w:r>
      <w:proofErr w:type="spellStart"/>
      <w:r>
        <w:t>Keaney</w:t>
      </w:r>
      <w:proofErr w:type="spellEnd"/>
    </w:p>
    <w:p w:rsidR="00243CBB" w:rsidRDefault="00243CBB">
      <w:pPr>
        <w:contextualSpacing w:val="0"/>
      </w:pPr>
    </w:p>
    <w:p w:rsidR="00243CBB" w:rsidRDefault="00243CBB">
      <w:pPr>
        <w:contextualSpacing w:val="0"/>
      </w:pPr>
    </w:p>
    <w:p w:rsidR="00243CBB" w:rsidRDefault="00DD4804">
      <w:pPr>
        <w:contextualSpacing w:val="0"/>
      </w:pPr>
      <w:r>
        <w:t xml:space="preserve">The meeting was called to order at 7:02 by Vice Chairman Young.  </w:t>
      </w:r>
    </w:p>
    <w:p w:rsidR="00243CBB" w:rsidRDefault="00243CBB">
      <w:pPr>
        <w:contextualSpacing w:val="0"/>
      </w:pPr>
    </w:p>
    <w:p w:rsidR="00243CBB" w:rsidRDefault="00243CBB">
      <w:pPr>
        <w:contextualSpacing w:val="0"/>
      </w:pPr>
    </w:p>
    <w:p w:rsidR="00243CBB" w:rsidRDefault="00DD4804">
      <w:pPr>
        <w:contextualSpacing w:val="0"/>
      </w:pPr>
      <w:r>
        <w:rPr>
          <w:b/>
        </w:rPr>
        <w:t>Article 15:</w:t>
      </w:r>
      <w:r>
        <w:t xml:space="preserve">  Assistant Town Manager Nancy Baker and Director of Finance Andrea </w:t>
      </w:r>
      <w:proofErr w:type="spellStart"/>
      <w:r>
        <w:t>Terkelson</w:t>
      </w:r>
      <w:proofErr w:type="spellEnd"/>
      <w:r>
        <w:t xml:space="preserve"> informed the Committee that there was a mistake in the information presented at the meeting on October 15, 2018.  They presented the new, correct information.  </w:t>
      </w:r>
      <w:proofErr w:type="spellStart"/>
      <w:r>
        <w:t>Keaney</w:t>
      </w:r>
      <w:proofErr w:type="spellEnd"/>
      <w:r>
        <w:t xml:space="preserve"> then moved </w:t>
      </w:r>
      <w:r>
        <w:t>and Pape seconded to recommend to Town Meeting that §39-39 of the Town Bylaws, entitled, “Revolving Funds Established”, be amended by deleting the rows for the Sustainability Fund, Ames Building, and Youth Commission revolving funds in their entirety and c</w:t>
      </w:r>
      <w:r>
        <w:t>lose out any funds remaining in such revolving funds to the General Fund;</w:t>
      </w:r>
    </w:p>
    <w:p w:rsidR="00243CBB" w:rsidRDefault="00DD4804">
      <w:pPr>
        <w:contextualSpacing w:val="0"/>
      </w:pPr>
      <w:r>
        <w:t xml:space="preserve"> </w:t>
      </w:r>
    </w:p>
    <w:p w:rsidR="00243CBB" w:rsidRDefault="00DD4804">
      <w:pPr>
        <w:contextualSpacing w:val="0"/>
      </w:pPr>
      <w:r>
        <w:t>And, further, by amending the vote taken under Article 12 of the May 21, 2018 Annual Town Meeting to delete the rows for the specified revolving funds in their entirety, and to inc</w:t>
      </w:r>
      <w:r>
        <w:t>rease the Board of Health Programs revolving fund annual expenditure limit from $15,000 to $25,000, with such amended expenditure limitations to remain applicable from fiscal year to fiscal year until such time as they are later amended, as shown below (te</w:t>
      </w:r>
      <w:r>
        <w:t>xt to be deleted shown in strikethrough and text to be inserted shown in bold underline).</w:t>
      </w:r>
    </w:p>
    <w:p w:rsidR="00243CBB" w:rsidRDefault="00DD4804">
      <w:pPr>
        <w:contextualSpacing w:val="0"/>
      </w:pPr>
      <w:r>
        <w:t xml:space="preserve"> </w:t>
      </w:r>
    </w:p>
    <w:p w:rsidR="00243CBB" w:rsidRDefault="00DD4804">
      <w:pPr>
        <w:contextualSpacing w:val="0"/>
        <w:jc w:val="both"/>
      </w:pPr>
      <w:r>
        <w:t xml:space="preserve"> </w:t>
      </w:r>
    </w:p>
    <w:tbl>
      <w:tblPr>
        <w:tblStyle w:val="a"/>
        <w:tblW w:w="862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235"/>
        <w:gridCol w:w="3390"/>
      </w:tblGrid>
      <w:tr w:rsidR="00243CBB">
        <w:trPr>
          <w:trHeight w:val="720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CBB" w:rsidRDefault="00DD4804">
            <w:pPr>
              <w:spacing w:after="200"/>
              <w:ind w:left="820"/>
              <w:contextualSpacing w:val="0"/>
              <w:rPr>
                <w:b/>
              </w:rPr>
            </w:pPr>
            <w:r>
              <w:rPr>
                <w:b/>
              </w:rPr>
              <w:t>Revolving Fund (Program or Purpose)</w:t>
            </w:r>
          </w:p>
        </w:tc>
        <w:tc>
          <w:tcPr>
            <w:tcW w:w="3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CBB" w:rsidRDefault="00DD4804">
            <w:pPr>
              <w:spacing w:after="200"/>
              <w:ind w:left="1000"/>
              <w:contextualSpacing w:val="0"/>
              <w:rPr>
                <w:b/>
              </w:rPr>
            </w:pPr>
            <w:r>
              <w:rPr>
                <w:b/>
              </w:rPr>
              <w:t>FY Spending Limit</w:t>
            </w:r>
          </w:p>
        </w:tc>
      </w:tr>
      <w:tr w:rsidR="00243CBB">
        <w:trPr>
          <w:trHeight w:val="1040"/>
        </w:trPr>
        <w:tc>
          <w:tcPr>
            <w:tcW w:w="5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CBB" w:rsidRDefault="00DD4804">
            <w:pPr>
              <w:spacing w:after="200"/>
              <w:ind w:left="820"/>
              <w:contextualSpacing w:val="0"/>
            </w:pPr>
            <w:r>
              <w:t>Pool Fund (Operation and maintenance of Dedham Pool)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CBB" w:rsidRDefault="00DD4804">
            <w:pPr>
              <w:spacing w:after="200"/>
              <w:ind w:left="820"/>
              <w:contextualSpacing w:val="0"/>
            </w:pPr>
            <w:r>
              <w:t>$225,000</w:t>
            </w:r>
          </w:p>
        </w:tc>
      </w:tr>
      <w:tr w:rsidR="00243CBB">
        <w:trPr>
          <w:trHeight w:val="1220"/>
        </w:trPr>
        <w:tc>
          <w:tcPr>
            <w:tcW w:w="5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CBB" w:rsidRDefault="00DD4804">
            <w:pPr>
              <w:ind w:left="820"/>
              <w:contextualSpacing w:val="0"/>
            </w:pPr>
            <w:r>
              <w:t>Firearms Fee Fund (Pay share of State fees/Balance to be expended for needs of Police Department)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CBB" w:rsidRDefault="00DD4804">
            <w:pPr>
              <w:ind w:left="820"/>
              <w:contextualSpacing w:val="0"/>
            </w:pPr>
            <w:r>
              <w:t>$5,000</w:t>
            </w:r>
          </w:p>
        </w:tc>
      </w:tr>
      <w:tr w:rsidR="00243CBB">
        <w:trPr>
          <w:trHeight w:val="880"/>
        </w:trPr>
        <w:tc>
          <w:tcPr>
            <w:tcW w:w="5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CBB" w:rsidRDefault="00DD4804">
            <w:pPr>
              <w:ind w:left="820"/>
              <w:contextualSpacing w:val="0"/>
            </w:pPr>
            <w:r>
              <w:t>Police Cruiser Fee Fund (Police cruiser maintenance, repairs and fuel)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CBB" w:rsidRDefault="00DD4804">
            <w:pPr>
              <w:ind w:left="820"/>
              <w:contextualSpacing w:val="0"/>
            </w:pPr>
            <w:r>
              <w:t>$20,000</w:t>
            </w:r>
          </w:p>
        </w:tc>
      </w:tr>
      <w:tr w:rsidR="00243CBB">
        <w:trPr>
          <w:trHeight w:val="1220"/>
        </w:trPr>
        <w:tc>
          <w:tcPr>
            <w:tcW w:w="5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CBB" w:rsidRDefault="00DD4804">
            <w:pPr>
              <w:ind w:left="820"/>
              <w:contextualSpacing w:val="0"/>
            </w:pPr>
            <w:r>
              <w:t>Surplus Vehicle and Equipment Fund (Paying costs and expenses of surplus sales and replacement vehicles and equipment)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CBB" w:rsidRDefault="00DD4804">
            <w:pPr>
              <w:ind w:left="820"/>
              <w:contextualSpacing w:val="0"/>
            </w:pPr>
            <w:r>
              <w:t>$75,000</w:t>
            </w:r>
          </w:p>
        </w:tc>
      </w:tr>
      <w:tr w:rsidR="00243CBB">
        <w:trPr>
          <w:trHeight w:val="1540"/>
        </w:trPr>
        <w:tc>
          <w:tcPr>
            <w:tcW w:w="5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CBB" w:rsidRDefault="00DD4804">
            <w:pPr>
              <w:ind w:left="820"/>
              <w:contextualSpacing w:val="0"/>
            </w:pPr>
            <w:r>
              <w:lastRenderedPageBreak/>
              <w:t>Board of Health Programs (Paying costs and expenses associated with health clinics, educational programs, and Tobacco enforcemen</w:t>
            </w:r>
            <w:r>
              <w:t>t)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CBB" w:rsidRDefault="00DD4804">
            <w:pPr>
              <w:ind w:left="820"/>
              <w:contextualSpacing w:val="0"/>
              <w:rPr>
                <w:b/>
                <w:u w:val="single"/>
              </w:rPr>
            </w:pPr>
            <w:r>
              <w:rPr>
                <w:b/>
              </w:rPr>
              <w:t xml:space="preserve">$15,000   </w:t>
            </w:r>
            <w:r>
              <w:rPr>
                <w:b/>
                <w:u w:val="single"/>
              </w:rPr>
              <w:t>$25,000</w:t>
            </w:r>
          </w:p>
        </w:tc>
      </w:tr>
      <w:tr w:rsidR="00243CBB">
        <w:trPr>
          <w:trHeight w:val="880"/>
        </w:trPr>
        <w:tc>
          <w:tcPr>
            <w:tcW w:w="5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CBB" w:rsidRDefault="00DD4804">
            <w:pPr>
              <w:ind w:left="820"/>
              <w:contextualSpacing w:val="0"/>
            </w:pPr>
            <w:r>
              <w:t>Council on Aging Programs (Paying costs and expenses related to said programs)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CBB" w:rsidRDefault="00DD4804">
            <w:pPr>
              <w:ind w:left="820"/>
              <w:contextualSpacing w:val="0"/>
            </w:pPr>
            <w:r>
              <w:t>$8,000</w:t>
            </w:r>
          </w:p>
        </w:tc>
      </w:tr>
      <w:tr w:rsidR="00243CBB">
        <w:trPr>
          <w:trHeight w:val="880"/>
        </w:trPr>
        <w:tc>
          <w:tcPr>
            <w:tcW w:w="5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CBB" w:rsidRDefault="00DD4804">
            <w:pPr>
              <w:ind w:left="820"/>
              <w:contextualSpacing w:val="0"/>
            </w:pPr>
            <w:r>
              <w:t>Recreation (Paying costs and expenses related to said programs)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CBB" w:rsidRDefault="00DD4804">
            <w:pPr>
              <w:ind w:left="820"/>
              <w:contextualSpacing w:val="0"/>
            </w:pPr>
            <w:r>
              <w:t>$190,000</w:t>
            </w:r>
          </w:p>
        </w:tc>
      </w:tr>
      <w:tr w:rsidR="00243CBB">
        <w:trPr>
          <w:trHeight w:val="1220"/>
        </w:trPr>
        <w:tc>
          <w:tcPr>
            <w:tcW w:w="5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CBB" w:rsidRDefault="00DD4804">
            <w:pPr>
              <w:ind w:left="820"/>
              <w:contextualSpacing w:val="0"/>
              <w:rPr>
                <w:b/>
              </w:rPr>
            </w:pPr>
            <w:r>
              <w:rPr>
                <w:b/>
              </w:rPr>
              <w:t>Sustainability Fund (Paying costs and expenses associated with educational and outreach events)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CBB" w:rsidRDefault="00DD4804">
            <w:pPr>
              <w:ind w:left="820"/>
              <w:contextualSpacing w:val="0"/>
              <w:rPr>
                <w:b/>
              </w:rPr>
            </w:pPr>
            <w:r>
              <w:rPr>
                <w:b/>
              </w:rPr>
              <w:t>$2,500</w:t>
            </w:r>
          </w:p>
        </w:tc>
      </w:tr>
      <w:tr w:rsidR="00243CBB">
        <w:trPr>
          <w:trHeight w:val="880"/>
        </w:trPr>
        <w:tc>
          <w:tcPr>
            <w:tcW w:w="5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CBB" w:rsidRDefault="00DD4804">
            <w:pPr>
              <w:ind w:left="820"/>
              <w:contextualSpacing w:val="0"/>
            </w:pPr>
            <w:r>
              <w:t>Veterans’ Fund (Paying costs and expenses related to said programs)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CBB" w:rsidRDefault="00DD4804">
            <w:pPr>
              <w:ind w:left="820"/>
              <w:contextualSpacing w:val="0"/>
            </w:pPr>
            <w:r>
              <w:t>$5,000</w:t>
            </w:r>
          </w:p>
        </w:tc>
      </w:tr>
      <w:tr w:rsidR="00243CBB">
        <w:trPr>
          <w:trHeight w:val="2220"/>
        </w:trPr>
        <w:tc>
          <w:tcPr>
            <w:tcW w:w="5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CBB" w:rsidRDefault="00DD4804">
            <w:pPr>
              <w:ind w:left="820"/>
              <w:contextualSpacing w:val="0"/>
              <w:rPr>
                <w:b/>
              </w:rPr>
            </w:pPr>
            <w:r>
              <w:rPr>
                <w:b/>
              </w:rPr>
              <w:t>Ames Building (Paying costs and expenses related to building maintenance and construction; provided that the monies in said fund as of June 30, 2017 shall remain in said fund and be available for expenditure for the purposes described herein)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CBB" w:rsidRDefault="00DD4804">
            <w:pPr>
              <w:ind w:left="820"/>
              <w:contextualSpacing w:val="0"/>
              <w:rPr>
                <w:b/>
              </w:rPr>
            </w:pPr>
            <w:r>
              <w:rPr>
                <w:b/>
              </w:rPr>
              <w:t>$125,000</w:t>
            </w:r>
          </w:p>
        </w:tc>
      </w:tr>
      <w:tr w:rsidR="00243CBB">
        <w:trPr>
          <w:trHeight w:val="880"/>
        </w:trPr>
        <w:tc>
          <w:tcPr>
            <w:tcW w:w="5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CBB" w:rsidRDefault="00DD4804">
            <w:pPr>
              <w:ind w:left="820"/>
              <w:contextualSpacing w:val="0"/>
            </w:pPr>
            <w:r>
              <w:t>Avery School (MBACC) (Paying costs and expenses related to building maintenance)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CBB" w:rsidRDefault="00DD4804">
            <w:pPr>
              <w:ind w:left="820"/>
              <w:contextualSpacing w:val="0"/>
            </w:pPr>
            <w:r>
              <w:t>$2,500</w:t>
            </w:r>
          </w:p>
        </w:tc>
      </w:tr>
      <w:tr w:rsidR="00243CBB">
        <w:trPr>
          <w:trHeight w:val="1220"/>
        </w:trPr>
        <w:tc>
          <w:tcPr>
            <w:tcW w:w="5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CBB" w:rsidRDefault="00DD4804">
            <w:pPr>
              <w:ind w:left="820"/>
              <w:contextualSpacing w:val="0"/>
              <w:rPr>
                <w:b/>
              </w:rPr>
            </w:pPr>
            <w:r>
              <w:rPr>
                <w:b/>
              </w:rPr>
              <w:t>Youth Commission (Paying costs and expenses related to said programs or events)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CBB" w:rsidRDefault="00DD4804">
            <w:pPr>
              <w:ind w:left="820"/>
              <w:contextualSpacing w:val="0"/>
              <w:rPr>
                <w:b/>
              </w:rPr>
            </w:pPr>
            <w:r>
              <w:rPr>
                <w:b/>
              </w:rPr>
              <w:t>$25,000</w:t>
            </w:r>
          </w:p>
        </w:tc>
      </w:tr>
    </w:tbl>
    <w:p w:rsidR="00243CBB" w:rsidRDefault="00243CBB">
      <w:pPr>
        <w:contextualSpacing w:val="0"/>
      </w:pPr>
    </w:p>
    <w:p w:rsidR="00243CBB" w:rsidRDefault="00243CBB">
      <w:pPr>
        <w:contextualSpacing w:val="0"/>
      </w:pPr>
    </w:p>
    <w:p w:rsidR="00243CBB" w:rsidRDefault="00DD4804">
      <w:pPr>
        <w:contextualSpacing w:val="0"/>
      </w:pPr>
      <w:r>
        <w:t>The vote was unanimous in favor.</w:t>
      </w:r>
    </w:p>
    <w:p w:rsidR="00243CBB" w:rsidRDefault="00243CBB">
      <w:pPr>
        <w:contextualSpacing w:val="0"/>
      </w:pPr>
    </w:p>
    <w:p w:rsidR="00243CBB" w:rsidRDefault="00DD4804">
      <w:pPr>
        <w:contextualSpacing w:val="0"/>
      </w:pPr>
      <w:r>
        <w:rPr>
          <w:b/>
        </w:rPr>
        <w:lastRenderedPageBreak/>
        <w:t xml:space="preserve">Article 16:  </w:t>
      </w:r>
      <w:r>
        <w:t xml:space="preserve">Town Counsel Lauren Goldberg was in attendance and answered questions from the Committee.  </w:t>
      </w:r>
      <w:proofErr w:type="spellStart"/>
      <w:r>
        <w:t>Keaney</w:t>
      </w:r>
      <w:proofErr w:type="spellEnd"/>
      <w:r>
        <w:t xml:space="preserve"> had a few minor editorial and grammatical edits to make to the text.  He then moved to recommend Town Meeting approve the article with the editorial changes. </w:t>
      </w:r>
      <w:r>
        <w:t xml:space="preserve"> Pape seconded, and the vote was unanimous in favor.</w:t>
      </w:r>
    </w:p>
    <w:p w:rsidR="00243CBB" w:rsidRDefault="00243CBB">
      <w:pPr>
        <w:contextualSpacing w:val="0"/>
      </w:pPr>
    </w:p>
    <w:p w:rsidR="00243CBB" w:rsidRDefault="00DD4804">
      <w:pPr>
        <w:contextualSpacing w:val="0"/>
      </w:pPr>
      <w:r>
        <w:t>The meeting adjourned at 7:45.</w:t>
      </w:r>
    </w:p>
    <w:sectPr w:rsidR="00243CBB">
      <w:headerReference w:type="default" r:id="rId6"/>
      <w:headerReference w:type="first" r:id="rId7"/>
      <w:footerReference w:type="first" r:id="rId8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D4804">
      <w:pPr>
        <w:spacing w:line="240" w:lineRule="auto"/>
      </w:pPr>
      <w:r>
        <w:separator/>
      </w:r>
    </w:p>
  </w:endnote>
  <w:endnote w:type="continuationSeparator" w:id="0">
    <w:p w:rsidR="00000000" w:rsidRDefault="00DD48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CBB" w:rsidRDefault="00243CBB">
    <w:pPr>
      <w:contextualSpacing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D4804">
      <w:pPr>
        <w:spacing w:line="240" w:lineRule="auto"/>
      </w:pPr>
      <w:r>
        <w:separator/>
      </w:r>
    </w:p>
  </w:footnote>
  <w:footnote w:type="continuationSeparator" w:id="0">
    <w:p w:rsidR="00000000" w:rsidRDefault="00DD48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CBB" w:rsidRDefault="00243CBB">
    <w:pPr>
      <w:contextualSpacing w:val="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CBB" w:rsidRDefault="00DD4804">
    <w:pPr>
      <w:contextualSpacing w:val="0"/>
      <w:jc w:val="center"/>
    </w:pPr>
    <w:r>
      <w:t>Meeting of the By-Law Review Committee</w:t>
    </w:r>
  </w:p>
  <w:p w:rsidR="00243CBB" w:rsidRDefault="00DD4804">
    <w:pPr>
      <w:contextualSpacing w:val="0"/>
      <w:jc w:val="center"/>
    </w:pPr>
    <w:r>
      <w:t>October 29, 2018</w:t>
    </w:r>
  </w:p>
  <w:p w:rsidR="00243CBB" w:rsidRDefault="00DD4804">
    <w:pPr>
      <w:contextualSpacing w:val="0"/>
      <w:jc w:val="center"/>
    </w:pPr>
    <w:r>
      <w:t>Endicott Estate Ballroom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BB"/>
    <w:rsid w:val="00243CBB"/>
    <w:rsid w:val="00D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B08FF6-DCED-46B5-96F5-5E5674E8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2554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Munchbach</dc:creator>
  <cp:lastModifiedBy>Paul Munchbach</cp:lastModifiedBy>
  <cp:revision>2</cp:revision>
  <dcterms:created xsi:type="dcterms:W3CDTF">2018-11-20T13:26:00Z</dcterms:created>
  <dcterms:modified xsi:type="dcterms:W3CDTF">2018-11-20T13:26:00Z</dcterms:modified>
</cp:coreProperties>
</file>